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6E0B" w14:textId="28620985" w:rsidR="004E4594" w:rsidRDefault="004E4594" w:rsidP="004E4594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2F5496" w:themeColor="accent1" w:themeShade="BF"/>
          <w:sz w:val="44"/>
          <w:szCs w:val="44"/>
        </w:rPr>
        <w:t>System strasburski</w:t>
      </w:r>
      <w:r>
        <w:rPr>
          <w:rFonts w:ascii="Times New Roman" w:hAnsi="Times New Roman" w:cs="Times New Roman"/>
          <w:b/>
          <w:color w:val="2F5496" w:themeColor="accent1" w:themeShade="BF"/>
          <w:sz w:val="44"/>
          <w:szCs w:val="44"/>
        </w:rPr>
        <w:t xml:space="preserve"> </w:t>
      </w:r>
      <w:r w:rsidRPr="004E4594">
        <w:rPr>
          <w:rFonts w:ascii="Times New Roman" w:hAnsi="Times New Roman" w:cs="Times New Roman"/>
          <w:bCs/>
          <w:sz w:val="32"/>
          <w:szCs w:val="32"/>
        </w:rPr>
        <w:t>– karta pracy</w:t>
      </w:r>
    </w:p>
    <w:p w14:paraId="39537AB5" w14:textId="564DC4B5" w:rsidR="004E4594" w:rsidRDefault="004E4594" w:rsidP="004E4594">
      <w:pPr>
        <w:rPr>
          <w:rFonts w:ascii="Times New Roman" w:hAnsi="Times New Roman" w:cs="Times New Roman"/>
          <w:color w:val="00B050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FC7565" wp14:editId="68B72D32">
                <wp:simplePos x="0" y="0"/>
                <wp:positionH relativeFrom="column">
                  <wp:posOffset>-8255</wp:posOffset>
                </wp:positionH>
                <wp:positionV relativeFrom="paragraph">
                  <wp:posOffset>50800</wp:posOffset>
                </wp:positionV>
                <wp:extent cx="5793740" cy="284480"/>
                <wp:effectExtent l="0" t="0" r="16510" b="2032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4630767D" w14:textId="77777777" w:rsidR="004E4594" w:rsidRDefault="004E4594" w:rsidP="004E4594">
                            <w:pPr>
                              <w:pStyle w:val="Zawartoramki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Imię i Nazwisko: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 Klasa: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 Data: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C7565" id="Prostokąt: zaokrąglone rogi 1" o:spid="_x0000_s1026" style="position:absolute;margin-left:-.65pt;margin-top:4pt;width:456.2pt;height:22.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" fillcolor="white [3201]" strokecolor="black [3213]" strokeweight=".09mm">
                <v:textbox>
                  <w:txbxContent>
                    <w:p w14:paraId="4630767D" w14:textId="77777777" w:rsidR="004E4594" w:rsidRDefault="004E4594" w:rsidP="004E4594">
                      <w:pPr>
                        <w:pStyle w:val="Zawartoramki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Imię i Nazwisko: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  <w:t xml:space="preserve"> Klasa: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  <w:t xml:space="preserve"> Data: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973C02" w14:textId="77777777" w:rsidR="004E4594" w:rsidRDefault="004E4594" w:rsidP="004E4594">
      <w:pPr>
        <w:spacing w:before="20" w:line="228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/>
        </w:rPr>
        <w:t>1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365F91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Wykorzystując fragmenty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Konwencji o Ochronie Praw Człowieka i Podstawowych Wolności </w:t>
      </w:r>
      <w:r>
        <w:rPr>
          <w:rFonts w:ascii="Times New Roman" w:hAnsi="Times New Roman" w:cs="Times New Roman"/>
          <w:color w:val="231F20"/>
          <w:sz w:val="24"/>
          <w:szCs w:val="24"/>
        </w:rPr>
        <w:t>(podręcznik, s. 236–240), określ prawa i wolności człowieka, których naruszenie lub złamanie przez państwo może spowodować odwołanie się jego obywateli do Europejskiego Trybunału Praw Człowieka.</w:t>
      </w:r>
    </w:p>
    <w:tbl>
      <w:tblPr>
        <w:tblStyle w:val="Tabela-Siatka"/>
        <w:tblW w:w="9262" w:type="dxa"/>
        <w:tblInd w:w="0" w:type="dxa"/>
        <w:tblLook w:val="04A0" w:firstRow="1" w:lastRow="0" w:firstColumn="1" w:lastColumn="0" w:noHBand="0" w:noVBand="1"/>
      </w:tblPr>
      <w:tblGrid>
        <w:gridCol w:w="4632"/>
        <w:gridCol w:w="4630"/>
      </w:tblGrid>
      <w:tr w:rsidR="004E4594" w14:paraId="66774B64" w14:textId="77777777" w:rsidTr="004E4594">
        <w:trPr>
          <w:trHeight w:val="23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2CB" w14:textId="77777777" w:rsidR="004E4594" w:rsidRDefault="004E4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Prawa człowieka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5F6" w14:textId="77777777" w:rsidR="004E4594" w:rsidRDefault="004E4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człowieka</w:t>
            </w:r>
          </w:p>
        </w:tc>
      </w:tr>
      <w:tr w:rsidR="004E4594" w14:paraId="4F8EE339" w14:textId="77777777" w:rsidTr="004E4594">
        <w:trPr>
          <w:trHeight w:val="207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10B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52A3430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F20C9F7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7F0C8DE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B56D911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DD25B15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9FD22DA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02A" w14:textId="77777777" w:rsidR="004E4594" w:rsidRDefault="004E459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37AFE4FD" w14:textId="77777777" w:rsidR="004E4594" w:rsidRDefault="004E4594" w:rsidP="004E4594">
      <w:pPr>
        <w:spacing w:before="20" w:line="228" w:lineRule="auto"/>
        <w:rPr>
          <w:rFonts w:ascii="Times New Roman" w:hAnsi="Times New Roman" w:cs="Times New Roman"/>
          <w:color w:val="FFFFFF" w:themeColor="background1"/>
          <w:sz w:val="24"/>
          <w:szCs w:val="24"/>
          <w:highlight w:val="darkBlue"/>
        </w:rPr>
      </w:pPr>
    </w:p>
    <w:p w14:paraId="71F08B3C" w14:textId="77777777" w:rsidR="004E4594" w:rsidRDefault="004E4594" w:rsidP="004E4594">
      <w:pPr>
        <w:spacing w:before="2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/>
        </w:rPr>
        <w:t>2.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Wykorzystując informacje zawarte w filmie edukacyjnym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Europejski Trybunał Praw Człowieka,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wykonaj polecenia. </w:t>
      </w:r>
    </w:p>
    <w:p w14:paraId="341A6805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Wypisz, w jakim składzie może obradować Europejski Trybunał Praw Człowieka.</w:t>
      </w:r>
    </w:p>
    <w:p w14:paraId="74155EF5" w14:textId="77777777" w:rsidR="004E4594" w:rsidRDefault="004E4594" w:rsidP="004E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E8C05B" w14:textId="77777777" w:rsidR="004E4594" w:rsidRDefault="004E4594" w:rsidP="004E4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Podaj przyczynę różnicy między ilością skarg składanych do </w:t>
      </w:r>
      <w:r>
        <w:rPr>
          <w:rFonts w:ascii="Times New Roman" w:eastAsia="Times New Roman" w:hAnsi="Times New Roman" w:cs="Times New Roman"/>
          <w:sz w:val="24"/>
          <w:szCs w:val="24"/>
        </w:rPr>
        <w:t>Europejskiego Trybunału Praw Człowieka a ilością skarg rozpatrywanych przez ten trybunał.</w:t>
      </w:r>
    </w:p>
    <w:p w14:paraId="66285DDD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A5DC66" w14:textId="77777777" w:rsidR="004E4594" w:rsidRDefault="004E4594" w:rsidP="004E4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Napisz, czego dotyczyły skargi złożone przeciwko wymienionym poniżej państwom należącym do systemu strasburskiego.</w:t>
      </w:r>
    </w:p>
    <w:p w14:paraId="37050B39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Włochy – ……………………………………………………………………………………... …………………………………………………………………………………………………</w:t>
      </w:r>
    </w:p>
    <w:p w14:paraId="578C5F33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Wielka Brytania – …………………………………………………………………………… …………………………………………………………………………………………………</w:t>
      </w:r>
    </w:p>
    <w:p w14:paraId="3F2D0B08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Turcja – …………………..………………………………………………………………….. </w:t>
      </w:r>
    </w:p>
    <w:p w14:paraId="3E0D1423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CA6194" w14:textId="77777777" w:rsidR="004E4594" w:rsidRDefault="004E4594" w:rsidP="004E4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Francja – ……………………………………………………………………………………… …………………………………….……………………………………………………………</w:t>
      </w:r>
    </w:p>
    <w:p w14:paraId="6D0E1C97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Rosja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….……………………………………………………………………………………</w:t>
      </w:r>
    </w:p>
    <w:p w14:paraId="516BC50A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72F7F6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Podaj nazwę instytucji sprawującej nadzór nad wykonywaniem wyroków </w:t>
      </w:r>
      <w:r>
        <w:rPr>
          <w:rFonts w:ascii="Times New Roman" w:eastAsia="Times New Roman" w:hAnsi="Times New Roman" w:cs="Times New Roman"/>
          <w:sz w:val="24"/>
          <w:szCs w:val="24"/>
        </w:rPr>
        <w:t>Europejskiego Trybunału Praw Człowieka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F5E5B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F36F32" w14:textId="77777777" w:rsidR="004E4594" w:rsidRDefault="004E4594" w:rsidP="004E4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Wymień konsekwencje wyroków wydawanych przez </w:t>
      </w:r>
      <w:r>
        <w:rPr>
          <w:rFonts w:ascii="Times New Roman" w:eastAsia="Times New Roman" w:hAnsi="Times New Roman" w:cs="Times New Roman"/>
          <w:sz w:val="24"/>
          <w:szCs w:val="24"/>
        </w:rPr>
        <w:t>Europejski Trybunał Praw Człowieka.</w:t>
      </w:r>
    </w:p>
    <w:p w14:paraId="44FDBC76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33D8E7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14EE2F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5B0259DD" w14:textId="77777777" w:rsidR="004E4594" w:rsidRDefault="004E4594" w:rsidP="004E4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Wyjaśnij, jaką rolę w działaniach Europejskiego Trybunału Praw Człowieka odgrywa zasada subsydiarności.</w:t>
      </w:r>
    </w:p>
    <w:p w14:paraId="043E567F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88E621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F16F55" w14:textId="77777777" w:rsidR="004E4594" w:rsidRDefault="004E4594" w:rsidP="004E4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48E692" w14:textId="77777777" w:rsidR="004E4594" w:rsidRDefault="004E4594" w:rsidP="004E4594">
      <w:pPr>
        <w:spacing w:after="0"/>
        <w:rPr>
          <w:sz w:val="24"/>
          <w:szCs w:val="24"/>
        </w:rPr>
      </w:pPr>
    </w:p>
    <w:p w14:paraId="18C24EF3" w14:textId="77777777" w:rsidR="004E4594" w:rsidRDefault="004E4594" w:rsidP="004E4594">
      <w:pPr>
        <w:spacing w:before="2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/>
        </w:rPr>
        <w:t>3.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Oceń, czy opisana w podanym tekście skarga do Europejskiego Trybunału Praw Człowieka spełnia kryteria dopuszczalności skargi wymienione na s. 70–71 podręcznika. </w:t>
      </w:r>
    </w:p>
    <w:p w14:paraId="715B86EF" w14:textId="77777777" w:rsidR="004E4594" w:rsidRDefault="004E4594" w:rsidP="004E45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Skarżący sformułował w artykule opublikowanym w lokalnej prasie szereg krytycznych wypowiedzi dotyczących lokalnej spółdzielni mieszkaniowej. Między innymi skarżący zakwestionował transakcje handlowe zawarte przez spółdzielnię, którą oskarżył o niegospodarność i działanie na szkodę jej członków. Następnie skarżący zainicjował postępowanie karne przeciwko spółdzielni, które zostało umorzone przez prokuratora z uwagi na brak znamion przestępstwa. Spółdzielnia wniosła pozew przeciwko skarżącemu z art. 23 i 24 kodeksu cywilnego o naruszenie dóbr osobistych. Sąd I instancji zasądził na rzecz powoda kwotę 5000 zł zadośćuczynienia za szkodę niematerialną oraz nakazał skarżącemu opublikować sprostowanie w lokalnej prasie. Obie strony złożyły apelacje, ale sąd apelacyjny oddalił je, uznając, że sąd I instancji poddał materiał dowodowy adekwatnej ocenie i właściwie zinterpretował odpowiednie przepisy. Skarżący wniósł kasację do Sądu Najwyższego, która została odrzucona. Skarżący zwrócił się ze skargą do </w:t>
      </w:r>
      <w:proofErr w:type="spellStart"/>
      <w:r>
        <w:rPr>
          <w:rFonts w:ascii="Times New Roman" w:hAnsi="Times New Roman" w:cs="Times New Roman"/>
        </w:rPr>
        <w:t>ETPCz</w:t>
      </w:r>
      <w:proofErr w:type="spellEnd"/>
      <w:r>
        <w:rPr>
          <w:rFonts w:ascii="Times New Roman" w:hAnsi="Times New Roman" w:cs="Times New Roman"/>
        </w:rPr>
        <w:t xml:space="preserve"> podnosząc, że wyroki wydane przez sądy krajowe naruszają jego prawo do swobody wypowiedzi.</w:t>
      </w:r>
    </w:p>
    <w:p w14:paraId="5F5463AD" w14:textId="77777777" w:rsidR="004E4594" w:rsidRDefault="004E4594" w:rsidP="004E45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www.arch-bip.ms.gov.pl/pl/prawa-czlowieka/europejski-trybunal-praw-czlowieka/aktualnosci/news,14314,najnowsze-orzeczenia-europejskiego-trybunalu-praw.html [dostęp: 26.08.2020].</w:t>
      </w:r>
    </w:p>
    <w:p w14:paraId="4380D092" w14:textId="77777777" w:rsidR="004E4594" w:rsidRDefault="004E4594" w:rsidP="004E4594">
      <w:pPr>
        <w:spacing w:after="0"/>
        <w:rPr>
          <w:sz w:val="24"/>
          <w:szCs w:val="24"/>
        </w:rPr>
      </w:pPr>
    </w:p>
    <w:p w14:paraId="3FCE3A05" w14:textId="77777777" w:rsidR="004E4594" w:rsidRDefault="004E4594" w:rsidP="004E45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594A882" w14:textId="77777777" w:rsidR="004E4594" w:rsidRDefault="004E4594" w:rsidP="004E45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116323" w14:textId="77777777" w:rsidR="004E4594" w:rsidRDefault="004E4594" w:rsidP="004E45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D14FC60" w14:textId="77777777" w:rsidR="004E4594" w:rsidRDefault="004E4594" w:rsidP="004E45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922AD5D" w14:textId="77777777" w:rsidR="004E4594" w:rsidRDefault="004E4594" w:rsidP="004E45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261B55B" w14:textId="77777777" w:rsidR="004E4594" w:rsidRDefault="004E4594" w:rsidP="004E45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9774578" w14:textId="77777777" w:rsidR="004E4594" w:rsidRDefault="004E4594" w:rsidP="004E4594">
      <w:pPr>
        <w:spacing w:after="0"/>
        <w:rPr>
          <w:sz w:val="24"/>
          <w:szCs w:val="24"/>
        </w:rPr>
      </w:pPr>
    </w:p>
    <w:p w14:paraId="6CAA2A49" w14:textId="1B81004C" w:rsidR="00842983" w:rsidRDefault="00842983"/>
    <w:sectPr w:rsidR="0084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94"/>
    <w:rsid w:val="004E4594"/>
    <w:rsid w:val="00842983"/>
    <w:rsid w:val="009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09D"/>
  <w15:chartTrackingRefBased/>
  <w15:docId w15:val="{C76840A5-825D-45B4-8F38-47632B0C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94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qFormat/>
    <w:rsid w:val="004E4594"/>
  </w:style>
  <w:style w:type="table" w:styleId="Tabela-Siatka">
    <w:name w:val="Table Grid"/>
    <w:basedOn w:val="Standardowy"/>
    <w:uiPriority w:val="59"/>
    <w:rsid w:val="004E4594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Stelmaszczyk</dc:creator>
  <cp:keywords/>
  <dc:description/>
  <cp:lastModifiedBy>Paulina Stelmaszczyk</cp:lastModifiedBy>
  <cp:revision>1</cp:revision>
  <dcterms:created xsi:type="dcterms:W3CDTF">2020-11-10T10:49:00Z</dcterms:created>
  <dcterms:modified xsi:type="dcterms:W3CDTF">2020-11-10T10:50:00Z</dcterms:modified>
</cp:coreProperties>
</file>